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E521D2" w:rsidRDefault="00C26E70">
      <w:pPr>
        <w:pStyle w:val="Title"/>
        <w:rPr>
          <w:sz w:val="44"/>
          <w:szCs w:val="44"/>
        </w:rPr>
      </w:pPr>
      <w:bookmarkStart w:id="0" w:name="_heading=h.gjdgxs" w:colFirst="0" w:colLast="0"/>
      <w:bookmarkEnd w:id="0"/>
      <w:r>
        <w:rPr>
          <w:b w:val="0"/>
          <w:color w:val="A64D79"/>
          <w:sz w:val="36"/>
          <w:szCs w:val="36"/>
        </w:rPr>
        <w:t xml:space="preserve">Research Summary </w:t>
      </w:r>
      <w:r>
        <w:rPr>
          <w:color w:val="A64D79"/>
        </w:rPr>
        <w:br/>
      </w:r>
      <w:r>
        <w:rPr>
          <w:sz w:val="44"/>
          <w:szCs w:val="44"/>
        </w:rPr>
        <w:t xml:space="preserve">Is studying abroad the best way to become fluent in a language?  </w:t>
      </w:r>
    </w:p>
    <w:p w14:paraId="00000002" w14:textId="121FF84D" w:rsidR="00E521D2" w:rsidRDefault="00C26E70">
      <w:pPr>
        <w:pStyle w:val="Title"/>
        <w:pBdr>
          <w:top w:val="nil"/>
          <w:left w:val="nil"/>
          <w:bottom w:val="nil"/>
          <w:right w:val="nil"/>
          <w:between w:val="nil"/>
        </w:pBdr>
        <w:rPr>
          <w:b w:val="0"/>
          <w:color w:val="666666"/>
          <w:sz w:val="22"/>
          <w:szCs w:val="22"/>
        </w:rPr>
      </w:pPr>
      <w:bookmarkStart w:id="1" w:name="_heading=h.30j0zll" w:colFirst="0" w:colLast="0"/>
      <w:bookmarkEnd w:id="1"/>
      <w:r>
        <w:rPr>
          <w:noProof/>
          <w:color w:val="666666"/>
          <w:sz w:val="20"/>
          <w:szCs w:val="20"/>
        </w:rPr>
        <w:drawing>
          <wp:inline distT="114300" distB="114300" distL="114300" distR="114300">
            <wp:extent cx="447675" cy="57150"/>
            <wp:effectExtent l="0" t="0" r="0" b="0"/>
            <wp:docPr id="6" name="image2.png" descr="short line"/>
            <wp:cNvGraphicFramePr/>
            <a:graphic xmlns:a="http://schemas.openxmlformats.org/drawingml/2006/main">
              <a:graphicData uri="http://schemas.openxmlformats.org/drawingml/2006/picture">
                <pic:pic xmlns:pic="http://schemas.openxmlformats.org/drawingml/2006/picture">
                  <pic:nvPicPr>
                    <pic:cNvPr id="0" name="image2.png" descr="short line"/>
                    <pic:cNvPicPr preferRelativeResize="0"/>
                  </pic:nvPicPr>
                  <pic:blipFill>
                    <a:blip r:embed="rId8"/>
                    <a:srcRect/>
                    <a:stretch>
                      <a:fillRect/>
                    </a:stretch>
                  </pic:blipFill>
                  <pic:spPr>
                    <a:xfrm>
                      <a:off x="0" y="0"/>
                      <a:ext cx="447675" cy="57150"/>
                    </a:xfrm>
                    <a:prstGeom prst="rect">
                      <a:avLst/>
                    </a:prstGeom>
                    <a:ln/>
                  </pic:spPr>
                </pic:pic>
              </a:graphicData>
            </a:graphic>
          </wp:inline>
        </w:drawing>
      </w:r>
      <w:r>
        <w:rPr>
          <w:color w:val="666666"/>
          <w:sz w:val="20"/>
          <w:szCs w:val="20"/>
        </w:rPr>
        <w:t xml:space="preserve">  </w:t>
      </w:r>
      <w:r>
        <w:rPr>
          <w:color w:val="666666"/>
          <w:sz w:val="20"/>
          <w:szCs w:val="20"/>
        </w:rPr>
        <w:tab/>
        <w:t xml:space="preserve">                                                </w:t>
      </w:r>
      <w:r>
        <w:rPr>
          <w:color w:val="039BE5"/>
          <w:sz w:val="22"/>
          <w:szCs w:val="22"/>
        </w:rPr>
        <w:t>Contributors:</w:t>
      </w:r>
      <w:r>
        <w:rPr>
          <w:color w:val="666666"/>
          <w:sz w:val="22"/>
          <w:szCs w:val="22"/>
        </w:rPr>
        <w:t xml:space="preserve"> </w:t>
      </w:r>
      <w:r>
        <w:rPr>
          <w:b w:val="0"/>
          <w:color w:val="666666"/>
          <w:sz w:val="22"/>
          <w:szCs w:val="22"/>
        </w:rPr>
        <w:t>Laura Bacchus</w:t>
      </w:r>
      <w:r>
        <w:rPr>
          <w:color w:val="666666"/>
          <w:sz w:val="22"/>
          <w:szCs w:val="22"/>
        </w:rPr>
        <w:t xml:space="preserve"> | </w:t>
      </w:r>
      <w:r>
        <w:rPr>
          <w:color w:val="039BE5"/>
          <w:sz w:val="22"/>
          <w:szCs w:val="22"/>
        </w:rPr>
        <w:t>Reviewers:</w:t>
      </w:r>
      <w:r>
        <w:rPr>
          <w:color w:val="666666"/>
          <w:sz w:val="22"/>
          <w:szCs w:val="22"/>
        </w:rPr>
        <w:t xml:space="preserve"> </w:t>
      </w:r>
      <w:r>
        <w:rPr>
          <w:b w:val="0"/>
          <w:color w:val="666666"/>
          <w:sz w:val="22"/>
          <w:szCs w:val="22"/>
        </w:rPr>
        <w:t xml:space="preserve"> Ha Nguyen | </w:t>
      </w:r>
      <w:r>
        <w:rPr>
          <w:color w:val="039BE5"/>
          <w:sz w:val="22"/>
          <w:szCs w:val="22"/>
        </w:rPr>
        <w:t>Date</w:t>
      </w:r>
      <w:r>
        <w:rPr>
          <w:b w:val="0"/>
          <w:color w:val="666666"/>
          <w:sz w:val="22"/>
          <w:szCs w:val="22"/>
        </w:rPr>
        <w:t xml:space="preserve">: </w:t>
      </w:r>
      <w:r w:rsidR="00563B57">
        <w:rPr>
          <w:b w:val="0"/>
          <w:color w:val="666666"/>
          <w:sz w:val="22"/>
          <w:szCs w:val="22"/>
        </w:rPr>
        <w:t>2022-05-08</w:t>
      </w:r>
    </w:p>
    <w:p w14:paraId="00000003" w14:textId="77777777" w:rsidR="00E521D2" w:rsidRDefault="00C26E70">
      <w:pPr>
        <w:pStyle w:val="Heading1"/>
        <w:pBdr>
          <w:top w:val="nil"/>
          <w:left w:val="nil"/>
          <w:bottom w:val="nil"/>
          <w:right w:val="nil"/>
          <w:between w:val="nil"/>
        </w:pBdr>
        <w:spacing w:before="200"/>
        <w:rPr>
          <w:sz w:val="32"/>
          <w:szCs w:val="32"/>
        </w:rPr>
      </w:pPr>
      <w:bookmarkStart w:id="2" w:name="_heading=h.1fob9te" w:colFirst="0" w:colLast="0"/>
      <w:bookmarkEnd w:id="2"/>
      <w:r>
        <w:rPr>
          <w:sz w:val="32"/>
          <w:szCs w:val="32"/>
        </w:rPr>
        <w:t xml:space="preserve">Overview </w:t>
      </w:r>
    </w:p>
    <w:p w14:paraId="00000004" w14:textId="77777777" w:rsidR="00E521D2" w:rsidRDefault="00C26E70">
      <w:pPr>
        <w:pBdr>
          <w:top w:val="nil"/>
          <w:left w:val="nil"/>
          <w:bottom w:val="nil"/>
          <w:right w:val="nil"/>
          <w:between w:val="nil"/>
        </w:pBdr>
        <w:jc w:val="both"/>
        <w:rPr>
          <w:sz w:val="32"/>
          <w:szCs w:val="32"/>
        </w:rPr>
      </w:pPr>
      <w:r>
        <w:t>Studying abroad is often considered the best way to improve fluency in another language because it offers many opportunities to speak with native speakers in an immersive environment. This study compared English-speaking university-level French learners in</w:t>
      </w:r>
      <w:r>
        <w:t xml:space="preserve"> three different contexts. The first context was a traditional semester foreign language classroom setting. The second was a domestic immersion program, in which students spent a summer taking French courses while also speaking only French with other membe</w:t>
      </w:r>
      <w:r>
        <w:t xml:space="preserve">rs of the program, participating in extracurricular activities in French, and living in French-only housing. The third was a study abroad program in Paris. The study compared the groups’ development of fluency, </w:t>
      </w:r>
      <w:sdt>
        <w:sdtPr>
          <w:tag w:val="goog_rdk_0"/>
          <w:id w:val="1248839480"/>
        </w:sdtPr>
        <w:sdtEndPr/>
        <w:sdtContent/>
      </w:sdt>
      <w:r>
        <w:t>defined as ability to speak quickly and</w:t>
      </w:r>
      <w:r>
        <w:t xml:space="preserve"> </w:t>
      </w:r>
      <w:r>
        <w:t xml:space="preserve">without silence or fillers. The study also investigated whether there were differences between the groups in the time spent using French, and whether differences in time using French affected fluency development. </w:t>
      </w:r>
    </w:p>
    <w:p w14:paraId="00000005" w14:textId="77777777" w:rsidR="00E521D2" w:rsidRDefault="00C26E70">
      <w:pPr>
        <w:pStyle w:val="Heading1"/>
        <w:pBdr>
          <w:top w:val="nil"/>
          <w:left w:val="nil"/>
          <w:bottom w:val="nil"/>
          <w:right w:val="nil"/>
          <w:between w:val="nil"/>
        </w:pBdr>
        <w:spacing w:before="200"/>
        <w:rPr>
          <w:sz w:val="32"/>
          <w:szCs w:val="32"/>
        </w:rPr>
      </w:pPr>
      <w:bookmarkStart w:id="3" w:name="_heading=h.3znysh7" w:colFirst="0" w:colLast="0"/>
      <w:bookmarkEnd w:id="3"/>
      <w:r>
        <w:rPr>
          <w:sz w:val="32"/>
          <w:szCs w:val="32"/>
        </w:rPr>
        <w:t>Research methods</w:t>
      </w:r>
    </w:p>
    <w:p w14:paraId="00000006" w14:textId="77777777" w:rsidR="00E521D2" w:rsidRDefault="00C26E70">
      <w:pPr>
        <w:jc w:val="both"/>
        <w:rPr>
          <w:sz w:val="32"/>
          <w:szCs w:val="32"/>
        </w:rPr>
      </w:pPr>
      <w:r>
        <w:t>To measure gains in speak</w:t>
      </w:r>
      <w:r>
        <w:t xml:space="preserve">ing fluency, interviews were recorded with each participant at the beginning and end of their fall semester or summer program. The interviews were transcribed and </w:t>
      </w:r>
      <w:sdt>
        <w:sdtPr>
          <w:tag w:val="goog_rdk_1"/>
          <w:id w:val="1858934515"/>
        </w:sdtPr>
        <w:sdtEndPr/>
        <w:sdtContent/>
      </w:sdt>
      <w:r>
        <w:t>analyzed</w:t>
      </w:r>
      <w:r>
        <w:t xml:space="preserve"> for fluency based on several measures including speech rate and how long partic</w:t>
      </w:r>
      <w:r>
        <w:t>ipants spoke without hesitating, using filler words, repeating themselves or making grammatical corrections. The participants also completed a detailed questionnaire about all their activities in English and French at the beginning and end of their program</w:t>
      </w:r>
      <w:r>
        <w:t xml:space="preserve">s. </w:t>
      </w:r>
    </w:p>
    <w:p w14:paraId="00000007" w14:textId="77777777" w:rsidR="00E521D2" w:rsidRDefault="00C26E70">
      <w:pPr>
        <w:pStyle w:val="Heading1"/>
        <w:spacing w:before="200"/>
        <w:rPr>
          <w:sz w:val="32"/>
          <w:szCs w:val="32"/>
        </w:rPr>
      </w:pPr>
      <w:bookmarkStart w:id="4" w:name="_heading=h.2et92p0" w:colFirst="0" w:colLast="0"/>
      <w:bookmarkEnd w:id="4"/>
      <w:r>
        <w:rPr>
          <w:sz w:val="32"/>
          <w:szCs w:val="32"/>
        </w:rPr>
        <w:t>Results</w:t>
      </w:r>
    </w:p>
    <w:p w14:paraId="00000008" w14:textId="77777777" w:rsidR="00E521D2" w:rsidRDefault="00C26E70">
      <w:pPr>
        <w:jc w:val="both"/>
      </w:pPr>
      <w:r>
        <w:t>Students in the domestic immersion program experienced the greatest improvement in oral fluency. The study abroad group also made some gains in speaking fluency but fewer than the domestic immersion group, while the traditional foreign language</w:t>
      </w:r>
      <w:r>
        <w:t xml:space="preserve"> class made no significant gains. The domestic immersion students spent the greatest amount of time using French of the three groups, and the study abroad group used more English than French outside of class. The domestic immersion students also wrote seve</w:t>
      </w:r>
      <w:r>
        <w:t xml:space="preserve">ral reports in French, and time spent writing in French was significantly related to gains in speaking fluency. </w:t>
      </w:r>
    </w:p>
    <w:p w14:paraId="00000009" w14:textId="77777777" w:rsidR="00E521D2" w:rsidRDefault="00C26E70">
      <w:pPr>
        <w:pStyle w:val="Heading1"/>
        <w:spacing w:before="200"/>
        <w:rPr>
          <w:sz w:val="32"/>
          <w:szCs w:val="32"/>
        </w:rPr>
      </w:pPr>
      <w:bookmarkStart w:id="5" w:name="_heading=h.tyjcwt" w:colFirst="0" w:colLast="0"/>
      <w:bookmarkEnd w:id="5"/>
      <w:r>
        <w:rPr>
          <w:sz w:val="32"/>
          <w:szCs w:val="32"/>
        </w:rPr>
        <w:t>Practical Implications/Significance</w:t>
      </w:r>
    </w:p>
    <w:p w14:paraId="0000000A" w14:textId="77777777" w:rsidR="00E521D2" w:rsidRDefault="00C26E70">
      <w:pPr>
        <w:jc w:val="both"/>
      </w:pPr>
      <w:r>
        <w:t>This study challenges the belief that study abroad is necessarily the best way to maximize time spent using a second language and improve fluency. Context alone does not promote learning but rather the amount of time using French was the decisive factor. A</w:t>
      </w:r>
      <w:r>
        <w:t xml:space="preserve">dditionally, writing may support speaking fluency because it requires learners to process language more deeply and therefore makes it easier to produce when speaking. </w:t>
      </w:r>
    </w:p>
    <w:p w14:paraId="0000000B" w14:textId="77777777" w:rsidR="00E521D2" w:rsidRDefault="00C26E70">
      <w:pPr>
        <w:rPr>
          <w:color w:val="404040"/>
        </w:rPr>
      </w:pPr>
      <w:r>
        <w:rPr>
          <w:color w:val="FFFFFF"/>
          <w:sz w:val="24"/>
          <w:szCs w:val="24"/>
          <w:shd w:val="clear" w:color="auto" w:fill="039BE5"/>
        </w:rPr>
        <w:t xml:space="preserve">Original Text: </w:t>
      </w:r>
      <w:r>
        <w:rPr>
          <w:sz w:val="24"/>
          <w:szCs w:val="24"/>
        </w:rPr>
        <w:t xml:space="preserve"> </w:t>
      </w:r>
      <w:r>
        <w:rPr>
          <w:color w:val="404040"/>
          <w:highlight w:val="white"/>
        </w:rPr>
        <w:t xml:space="preserve">Freed, </w:t>
      </w:r>
      <w:proofErr w:type="spellStart"/>
      <w:r>
        <w:rPr>
          <w:color w:val="404040"/>
          <w:highlight w:val="white"/>
        </w:rPr>
        <w:t>Segalowitz</w:t>
      </w:r>
      <w:proofErr w:type="spellEnd"/>
      <w:r>
        <w:rPr>
          <w:color w:val="404040"/>
          <w:highlight w:val="white"/>
        </w:rPr>
        <w:t xml:space="preserve">, N., &amp; Dewey, D. P. (2004). Context of Learning and Second Language Fluency in French. </w:t>
      </w:r>
      <w:r>
        <w:rPr>
          <w:i/>
          <w:color w:val="404040"/>
          <w:highlight w:val="white"/>
        </w:rPr>
        <w:t>Studies in Second Language Acquisition</w:t>
      </w:r>
      <w:r>
        <w:rPr>
          <w:color w:val="404040"/>
          <w:highlight w:val="white"/>
        </w:rPr>
        <w:t xml:space="preserve">, </w:t>
      </w:r>
      <w:r>
        <w:rPr>
          <w:i/>
          <w:color w:val="404040"/>
          <w:highlight w:val="white"/>
        </w:rPr>
        <w:t>26</w:t>
      </w:r>
      <w:r>
        <w:rPr>
          <w:color w:val="404040"/>
          <w:highlight w:val="white"/>
        </w:rPr>
        <w:t>(2), 275–301.</w:t>
      </w:r>
      <w:r>
        <w:rPr>
          <w:color w:val="404040"/>
        </w:rPr>
        <w:t xml:space="preserve"> https://doi.org/10.1017/S0272263104262064</w:t>
      </w:r>
    </w:p>
    <w:sectPr w:rsidR="00E521D2">
      <w:headerReference w:type="default" r:id="rId9"/>
      <w:footerReference w:type="default" r:id="rId10"/>
      <w:headerReference w:type="first" r:id="rId11"/>
      <w:footerReference w:type="first" r:id="rId12"/>
      <w:pgSz w:w="12240" w:h="15840"/>
      <w:pgMar w:top="431" w:right="431" w:bottom="431" w:left="431" w:header="14" w:footer="1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1BBDBE" w14:textId="77777777" w:rsidR="00C26E70" w:rsidRDefault="00C26E70">
      <w:pPr>
        <w:spacing w:before="0" w:line="240" w:lineRule="auto"/>
      </w:pPr>
      <w:r>
        <w:separator/>
      </w:r>
    </w:p>
  </w:endnote>
  <w:endnote w:type="continuationSeparator" w:id="0">
    <w:p w14:paraId="4B1417C5" w14:textId="77777777" w:rsidR="00C26E70" w:rsidRDefault="00C26E7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panose1 w:val="020B0604020202020204"/>
    <w:charset w:val="00"/>
    <w:family w:val="auto"/>
    <w:pitch w:val="default"/>
  </w:font>
  <w:font w:name="Trebuchet MS">
    <w:panose1 w:val="020B0603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1" w14:textId="77777777" w:rsidR="00E521D2" w:rsidRDefault="00C26E70">
    <w:pPr>
      <w:pBdr>
        <w:top w:val="nil"/>
        <w:left w:val="nil"/>
        <w:bottom w:val="nil"/>
        <w:right w:val="nil"/>
        <w:between w:val="nil"/>
      </w:pBdr>
    </w:pPr>
    <w:r>
      <w:rPr>
        <w:noProof/>
      </w:rPr>
      <w:drawing>
        <wp:anchor distT="0" distB="0" distL="0" distR="0" simplePos="0" relativeHeight="251659264" behindDoc="0" locked="0" layoutInCell="1" hidden="0" allowOverlap="1">
          <wp:simplePos x="0" y="0"/>
          <wp:positionH relativeFrom="column">
            <wp:posOffset>-919161</wp:posOffset>
          </wp:positionH>
          <wp:positionV relativeFrom="paragraph">
            <wp:posOffset>438150</wp:posOffset>
          </wp:positionV>
          <wp:extent cx="7781925" cy="409575"/>
          <wp:effectExtent l="0" t="0" r="0" b="0"/>
          <wp:wrapTopAndBottom distT="0" distB="0"/>
          <wp:docPr id="7" name="image1.png" descr="footer"/>
          <wp:cNvGraphicFramePr/>
          <a:graphic xmlns:a="http://schemas.openxmlformats.org/drawingml/2006/main">
            <a:graphicData uri="http://schemas.openxmlformats.org/drawingml/2006/picture">
              <pic:pic xmlns:pic="http://schemas.openxmlformats.org/drawingml/2006/picture">
                <pic:nvPicPr>
                  <pic:cNvPr id="0" name="image1.png" descr="footer"/>
                  <pic:cNvPicPr preferRelativeResize="0"/>
                </pic:nvPicPr>
                <pic:blipFill>
                  <a:blip r:embed="rId1"/>
                  <a:srcRect/>
                  <a:stretch>
                    <a:fillRect/>
                  </a:stretch>
                </pic:blipFill>
                <pic:spPr>
                  <a:xfrm>
                    <a:off x="0" y="0"/>
                    <a:ext cx="7781925" cy="409575"/>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0F" w14:textId="77777777" w:rsidR="00E521D2" w:rsidRDefault="00C26E70">
    <w:pPr>
      <w:spacing w:before="0" w:line="240" w:lineRule="auto"/>
      <w:rPr>
        <w:color w:val="999999"/>
        <w:sz w:val="12"/>
        <w:szCs w:val="12"/>
      </w:rPr>
    </w:pPr>
    <w:r>
      <w:rPr>
        <w:color w:val="999999"/>
        <w:sz w:val="12"/>
        <w:szCs w:val="12"/>
      </w:rPr>
      <w:t xml:space="preserve">Published in </w:t>
    </w:r>
    <w:r>
      <w:rPr>
        <w:b/>
        <w:color w:val="999999"/>
        <w:sz w:val="12"/>
        <w:szCs w:val="12"/>
      </w:rPr>
      <w:t>Multi-</w:t>
    </w:r>
    <w:proofErr w:type="spellStart"/>
    <w:r>
      <w:rPr>
        <w:b/>
        <w:color w:val="999999"/>
        <w:sz w:val="12"/>
        <w:szCs w:val="12"/>
      </w:rPr>
      <w:t>ʻōlelo</w:t>
    </w:r>
    <w:proofErr w:type="spellEnd"/>
    <w:r>
      <w:rPr>
        <w:color w:val="999999"/>
        <w:sz w:val="12"/>
        <w:szCs w:val="12"/>
      </w:rPr>
      <w:t>, a transmedia multilingual platform aiming to curate language-related matters in multiple languages from multiple voices promoting multilingual, multicultural perspectives and encourage different forms of scholarship for public access and inte</w:t>
    </w:r>
    <w:r>
      <w:rPr>
        <w:color w:val="999999"/>
        <w:sz w:val="12"/>
        <w:szCs w:val="12"/>
      </w:rPr>
      <w:t xml:space="preserve">raction. For more summaries, please visit </w:t>
    </w:r>
    <w:hyperlink r:id="rId1">
      <w:r>
        <w:rPr>
          <w:color w:val="999999"/>
          <w:sz w:val="12"/>
          <w:szCs w:val="12"/>
        </w:rPr>
        <w:t>https://multiolelo.com</w:t>
      </w:r>
    </w:hyperlink>
    <w:r>
      <w:rPr>
        <w:color w:val="999999"/>
        <w:sz w:val="12"/>
        <w:szCs w:val="12"/>
      </w:rPr>
      <w:t xml:space="preserve">.  Contact us: </w:t>
    </w:r>
    <w:hyperlink r:id="rId2">
      <w:r>
        <w:rPr>
          <w:color w:val="999999"/>
          <w:sz w:val="12"/>
          <w:szCs w:val="12"/>
        </w:rPr>
        <w:t>multioleloplatform@gmail.com</w:t>
      </w:r>
    </w:hyperlink>
    <w:r>
      <w:rPr>
        <w:color w:val="999999"/>
        <w:sz w:val="12"/>
        <w:szCs w:val="12"/>
      </w:rPr>
      <w:t xml:space="preserve">                                 </w:t>
    </w:r>
  </w:p>
  <w:p w14:paraId="00000010" w14:textId="77777777" w:rsidR="00E521D2" w:rsidRDefault="00E521D2">
    <w:pPr>
      <w:spacing w:before="0" w:line="240" w:lineRule="auto"/>
      <w:rPr>
        <w:color w:val="999999"/>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78C49C" w14:textId="77777777" w:rsidR="00C26E70" w:rsidRDefault="00C26E70">
      <w:pPr>
        <w:spacing w:before="0" w:line="240" w:lineRule="auto"/>
      </w:pPr>
      <w:r>
        <w:separator/>
      </w:r>
    </w:p>
  </w:footnote>
  <w:footnote w:type="continuationSeparator" w:id="0">
    <w:p w14:paraId="6D2FE586" w14:textId="77777777" w:rsidR="00C26E70" w:rsidRDefault="00C26E70">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0D" w14:textId="77777777" w:rsidR="00E521D2" w:rsidRDefault="00E521D2">
    <w:pPr>
      <w:pBdr>
        <w:top w:val="nil"/>
        <w:left w:val="nil"/>
        <w:bottom w:val="nil"/>
        <w:right w:val="nil"/>
        <w:between w:val="nil"/>
      </w:pBdr>
      <w:spacing w:before="640"/>
    </w:pPr>
  </w:p>
  <w:p w14:paraId="0000000E" w14:textId="77777777" w:rsidR="00E521D2" w:rsidRDefault="00C26E70">
    <w:pPr>
      <w:pBdr>
        <w:top w:val="nil"/>
        <w:left w:val="nil"/>
        <w:bottom w:val="nil"/>
        <w:right w:val="nil"/>
        <w:between w:val="nil"/>
      </w:pBdr>
    </w:pPr>
    <w:r>
      <w:rPr>
        <w:noProof/>
        <w:color w:val="666666"/>
        <w:sz w:val="20"/>
        <w:szCs w:val="20"/>
      </w:rPr>
      <w:drawing>
        <wp:inline distT="114300" distB="114300" distL="114300" distR="114300">
          <wp:extent cx="447675" cy="57150"/>
          <wp:effectExtent l="0" t="0" r="0" b="0"/>
          <wp:docPr id="8" name="image2.png" descr="short line"/>
          <wp:cNvGraphicFramePr/>
          <a:graphic xmlns:a="http://schemas.openxmlformats.org/drawingml/2006/main">
            <a:graphicData uri="http://schemas.openxmlformats.org/drawingml/2006/picture">
              <pic:pic xmlns:pic="http://schemas.openxmlformats.org/drawingml/2006/picture">
                <pic:nvPicPr>
                  <pic:cNvPr id="0" name="image2.png" descr="short line"/>
                  <pic:cNvPicPr preferRelativeResize="0"/>
                </pic:nvPicPr>
                <pic:blipFill>
                  <a:blip r:embed="rId1"/>
                  <a:srcRect/>
                  <a:stretch>
                    <a:fillRect/>
                  </a:stretch>
                </pic:blipFill>
                <pic:spPr>
                  <a:xfrm>
                    <a:off x="0" y="0"/>
                    <a:ext cx="447675" cy="5715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0C" w14:textId="77777777" w:rsidR="00E521D2" w:rsidRDefault="00C26E70">
    <w:pPr>
      <w:rPr>
        <w:sz w:val="2"/>
        <w:szCs w:val="2"/>
      </w:rPr>
    </w:pPr>
    <w:r>
      <w:rPr>
        <w:noProof/>
      </w:rPr>
      <w:drawing>
        <wp:anchor distT="0" distB="0" distL="0" distR="0" simplePos="0" relativeHeight="251658240" behindDoc="0" locked="0" layoutInCell="1" hidden="0" allowOverlap="1">
          <wp:simplePos x="0" y="0"/>
          <wp:positionH relativeFrom="column">
            <wp:posOffset>-276223</wp:posOffset>
          </wp:positionH>
          <wp:positionV relativeFrom="paragraph">
            <wp:posOffset>-9142</wp:posOffset>
          </wp:positionV>
          <wp:extent cx="7781925" cy="262319"/>
          <wp:effectExtent l="0" t="0" r="0" b="0"/>
          <wp:wrapTopAndBottom distT="0" distB="0"/>
          <wp:docPr id="5" name="image1.png" descr="horizontal line"/>
          <wp:cNvGraphicFramePr/>
          <a:graphic xmlns:a="http://schemas.openxmlformats.org/drawingml/2006/main">
            <a:graphicData uri="http://schemas.openxmlformats.org/drawingml/2006/picture">
              <pic:pic xmlns:pic="http://schemas.openxmlformats.org/drawingml/2006/picture">
                <pic:nvPicPr>
                  <pic:cNvPr id="0" name="image1.png" descr="horizontal line"/>
                  <pic:cNvPicPr preferRelativeResize="0"/>
                </pic:nvPicPr>
                <pic:blipFill>
                  <a:blip r:embed="rId1"/>
                  <a:srcRect/>
                  <a:stretch>
                    <a:fillRect/>
                  </a:stretch>
                </pic:blipFill>
                <pic:spPr>
                  <a:xfrm>
                    <a:off x="0" y="0"/>
                    <a:ext cx="7781925" cy="262319"/>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21D2"/>
    <w:rsid w:val="00563B57"/>
    <w:rsid w:val="009311CF"/>
    <w:rsid w:val="00C26E70"/>
    <w:rsid w:val="00E521D2"/>
  </w:rsids>
  <m:mathPr>
    <m:mathFont m:val="Cambria Math"/>
    <m:brkBin m:val="before"/>
    <m:brkBinSub m:val="--"/>
    <m:smallFrac m:val="0"/>
    <m:dispDef/>
    <m:lMargin m:val="0"/>
    <m:rMargin m:val="0"/>
    <m:defJc m:val="centerGroup"/>
    <m:wrapIndent m:val="1440"/>
    <m:intLim m:val="subSup"/>
    <m:naryLim m:val="undOvr"/>
  </m:mathPr>
  <w:themeFontLang w:val="en-VN"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6ABB59D"/>
  <w15:docId w15:val="{EEAC0FF8-04D7-CF45-AAB2-9391D338E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sz w:val="22"/>
        <w:szCs w:val="22"/>
        <w:lang w:val="en" w:eastAsia="zh-CN" w:bidi="ar-SA"/>
      </w:rPr>
    </w:rPrDefault>
    <w:pPrDefault>
      <w:pPr>
        <w:spacing w:before="20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color w:val="039BE5"/>
      <w:sz w:val="36"/>
      <w:szCs w:val="36"/>
    </w:rPr>
  </w:style>
  <w:style w:type="paragraph" w:styleId="Heading2">
    <w:name w:val="heading 2"/>
    <w:basedOn w:val="Normal"/>
    <w:next w:val="Normal"/>
    <w:uiPriority w:val="9"/>
    <w:semiHidden/>
    <w:unhideWhenUsed/>
    <w:qFormat/>
    <w:pPr>
      <w:keepNext/>
      <w:keepLines/>
      <w:outlineLvl w:val="1"/>
    </w:pPr>
    <w:rPr>
      <w:sz w:val="28"/>
      <w:szCs w:val="28"/>
    </w:rPr>
  </w:style>
  <w:style w:type="paragraph" w:styleId="Heading3">
    <w:name w:val="heading 3"/>
    <w:basedOn w:val="Normal"/>
    <w:next w:val="Normal"/>
    <w:uiPriority w:val="9"/>
    <w:semiHidden/>
    <w:unhideWhenUsed/>
    <w:qFormat/>
    <w:pPr>
      <w:keepNext/>
      <w:keepLines/>
      <w:outlineLvl w:val="2"/>
    </w:pPr>
    <w:rPr>
      <w:sz w:val="24"/>
      <w:szCs w:val="24"/>
    </w:rPr>
  </w:style>
  <w:style w:type="paragraph" w:styleId="Heading4">
    <w:name w:val="heading 4"/>
    <w:basedOn w:val="Normal"/>
    <w:next w:val="Normal"/>
    <w:uiPriority w:val="9"/>
    <w:semiHidden/>
    <w:unhideWhenUsed/>
    <w:qFormat/>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
    <w:next w:val="Normal"/>
    <w:uiPriority w:val="9"/>
    <w:semiHidden/>
    <w:unhideWhenUsed/>
    <w:qFormat/>
    <w:pPr>
      <w:keepNext/>
      <w:keepLines/>
      <w:spacing w:before="160"/>
      <w:outlineLvl w:val="4"/>
    </w:pPr>
    <w:rPr>
      <w:rFonts w:ascii="Trebuchet MS" w:eastAsia="Trebuchet MS" w:hAnsi="Trebuchet MS" w:cs="Trebuchet MS"/>
      <w:color w:val="666666"/>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line="240" w:lineRule="auto"/>
    </w:pPr>
    <w:rPr>
      <w:b/>
      <w:color w:val="404040"/>
      <w:sz w:val="60"/>
      <w:szCs w:val="60"/>
    </w:rPr>
  </w:style>
  <w:style w:type="paragraph" w:styleId="Subtitle">
    <w:name w:val="Subtitle"/>
    <w:basedOn w:val="Normal"/>
    <w:next w:val="Normal"/>
    <w:uiPriority w:val="11"/>
    <w:qFormat/>
    <w:pPr>
      <w:keepNext/>
      <w:keepLines/>
      <w:spacing w:before="120"/>
    </w:pPr>
    <w:rPr>
      <w:color w:val="404040"/>
      <w:sz w:val="24"/>
      <w:szCs w:val="24"/>
    </w:rPr>
  </w:style>
  <w:style w:type="character" w:styleId="CommentReference">
    <w:name w:val="annotation reference"/>
    <w:basedOn w:val="DefaultParagraphFont"/>
    <w:uiPriority w:val="99"/>
    <w:semiHidden/>
    <w:unhideWhenUsed/>
    <w:rsid w:val="00AB0403"/>
    <w:rPr>
      <w:sz w:val="16"/>
      <w:szCs w:val="16"/>
    </w:rPr>
  </w:style>
  <w:style w:type="paragraph" w:styleId="CommentText">
    <w:name w:val="annotation text"/>
    <w:basedOn w:val="Normal"/>
    <w:link w:val="CommentTextChar"/>
    <w:uiPriority w:val="99"/>
    <w:semiHidden/>
    <w:unhideWhenUsed/>
    <w:rsid w:val="00AB0403"/>
    <w:pPr>
      <w:spacing w:line="240" w:lineRule="auto"/>
    </w:pPr>
    <w:rPr>
      <w:sz w:val="20"/>
      <w:szCs w:val="20"/>
    </w:rPr>
  </w:style>
  <w:style w:type="character" w:customStyle="1" w:styleId="CommentTextChar">
    <w:name w:val="Comment Text Char"/>
    <w:basedOn w:val="DefaultParagraphFont"/>
    <w:link w:val="CommentText"/>
    <w:uiPriority w:val="99"/>
    <w:semiHidden/>
    <w:rsid w:val="00AB0403"/>
    <w:rPr>
      <w:sz w:val="20"/>
      <w:szCs w:val="20"/>
    </w:rPr>
  </w:style>
  <w:style w:type="paragraph" w:styleId="CommentSubject">
    <w:name w:val="annotation subject"/>
    <w:basedOn w:val="CommentText"/>
    <w:next w:val="CommentText"/>
    <w:link w:val="CommentSubjectChar"/>
    <w:uiPriority w:val="99"/>
    <w:semiHidden/>
    <w:unhideWhenUsed/>
    <w:rsid w:val="00AB0403"/>
    <w:rPr>
      <w:b/>
      <w:bCs/>
    </w:rPr>
  </w:style>
  <w:style w:type="character" w:customStyle="1" w:styleId="CommentSubjectChar">
    <w:name w:val="Comment Subject Char"/>
    <w:basedOn w:val="CommentTextChar"/>
    <w:link w:val="CommentSubject"/>
    <w:uiPriority w:val="99"/>
    <w:semiHidden/>
    <w:rsid w:val="00AB040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hyperlink" Target="mailto:multioleloplatform@gmail.com" TargetMode="External"/><Relationship Id="rId1" Type="http://schemas.openxmlformats.org/officeDocument/2006/relationships/hyperlink" Target="https://multiolel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gJzzVII04sIbZDsnTi22lG7J2wQ==">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28D635D-084B-B24A-AB1E-B4DFD756E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455</Words>
  <Characters>2596</Characters>
  <Application>Microsoft Office Word</Application>
  <DocSecurity>0</DocSecurity>
  <Lines>21</Lines>
  <Paragraphs>6</Paragraphs>
  <ScaleCrop>false</ScaleCrop>
  <Company/>
  <LinksUpToDate>false</LinksUpToDate>
  <CharactersWithSpaces>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THN</cp:lastModifiedBy>
  <cp:revision>3</cp:revision>
  <dcterms:created xsi:type="dcterms:W3CDTF">2022-04-11T18:45:00Z</dcterms:created>
  <dcterms:modified xsi:type="dcterms:W3CDTF">2022-05-08T23:30:00Z</dcterms:modified>
</cp:coreProperties>
</file>